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Economic Empowerment Framework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Survivor Financial Independence Strategy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Strategic Objectives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Break cycles of economic vulnerability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sustainable income pathways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financial self-sufficiency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Restore economic agency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Skills Development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Vocational Training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skills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Entrepreneurship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Technical trade skills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certifications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Skill Mapping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capability assessment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Market-aligned training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interest alignment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Personalized development plans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Financial Literacy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Core Competencies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Basic accounting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Budgeting techniques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Investment fundamentals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Credit management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Debt prevention strategies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Training Mechanisms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Workshop-based learning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learning platforms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Peer-to-peer mentorship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Practical financial simulations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Entrepreneurship Support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Business Development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Business plan creation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Market research skills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Competitive analysis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Startup strategy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Microfinance Integration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Low-interest loan access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Collaborative financing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lending models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Startup capital mechanisms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Market Linkage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Employment Pathways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 skills matching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networking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Interview preparation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Career counseling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Entrepreneurship Ecosystem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Business incubation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Mentorship programs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Local market connections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marketplace integration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Technology Enablement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skills training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work platforms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Remote work preparation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 entrepreneurship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Funding Mechanisms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Grant opportunities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Microfinance partnerships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Corporate sponsorship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investment models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Ongoing Support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skill upgrading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Performance monitoring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Career progression tracking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Adaptive support strategies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**Effective Date:** [Current Date]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**Review Cycle:** Annual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qFormat w:val="1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qFormat w:val="1"/>
    <w:pPr>
      <w:ind w:left="100" w:leftChars="2500"/>
    </w:pPr>
  </w:style>
  <w:style w:type="paragraph" w:styleId="29">
    <w:name w:val="Document Map"/>
    <w:basedOn w:val="1"/>
    <w:uiPriority w:val="0"/>
    <w:qFormat w:val="1"/>
    <w:pPr>
      <w:shd w:color="auto" w:fill="000080" w:val="clear"/>
    </w:pPr>
  </w:style>
  <w:style w:type="paragraph" w:styleId="30">
    <w:name w:val="E-mail Signature"/>
    <w:basedOn w:val="1"/>
    <w:uiPriority w:val="0"/>
    <w:qFormat w:val="1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qFormat w:val="1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qFormat w:val="1"/>
    <w:pPr>
      <w:ind w:left="1400" w:leftChars="1400"/>
    </w:pPr>
  </w:style>
  <w:style w:type="paragraph" w:styleId="60">
    <w:name w:val="index 9"/>
    <w:basedOn w:val="1"/>
    <w:next w:val="1"/>
    <w:uiPriority w:val="0"/>
    <w:qFormat w:val="1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qFormat w:val="1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qFormat w:val="1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qFormat w:val="1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qFormat w:val="1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qFormat w:val="1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qFormat w:val="1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qFormat w:val="1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qFormat w:val="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qFormat w:val="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cnKvSMJMYiJrnQ75Z8jJuE/vw==">CgMxLjAyCGguZ2pkZ3hzOAByITFuOC1wakJJRFZ4ZmhiM0RmRERwY05fcGtaSlhpalR5MA==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2024-12-08T16:39:00Z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