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rPr>
          <w:b w:val="1"/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Organisational Policy: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360" w:lineRule="auto"/>
        <w:rPr>
          <w:b w:val="1"/>
          <w:sz w:val="32"/>
          <w:szCs w:val="32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Sexual Harassment Prevention and Response Policy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Comprehensive Organizational Framework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1. Policy Objectives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Prevent sexual harassment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survivor dignity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safe organizational environment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 clear accountability mechanisms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2. Legal Framework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 Offenses Act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Employment Act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Kenya Constitution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human rights standards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tyjcwt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3. Definition of Sexual Harassment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Comprehensive Definition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Unwanted sexual advances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 coercion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Sexualized verbal harassment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Non-consensual physical contact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Digital/technological harassment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Context-Specific Manifestations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Staff-survivor interactions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Peer-to-peer harassment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Institutional power dynamics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Technology-enabled harassment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4. Prohibited Behaviors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Inappropriate touching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Sexual comments/jokes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Quid pro quo propositions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Stalking behaviors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Revenge pornography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sexual harassment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t3h5sf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5. Prevention Strategies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Organizational Measures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training programs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reporting mechanisms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Zero-tolerance enforcement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awareness campaigns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Staff Development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Mandatory consent workshops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boundary training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Power dynamics education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Ethical interaction guidelines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4d34og8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6. Reporting Mechanisms</w:t>
      </w:r>
    </w:p>
    <w:p w:rsidR="00000000" w:rsidDel="00000000" w:rsidP="00000000" w:rsidRDefault="00000000" w:rsidRPr="00000000" w14:paraId="0000002D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Reporting Channels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 hotline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reporting portal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Anonymous submission options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reporting alternatives</w:t>
      </w:r>
    </w:p>
    <w:p w:rsidR="00000000" w:rsidDel="00000000" w:rsidP="00000000" w:rsidRDefault="00000000" w:rsidRPr="00000000" w14:paraId="00000032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Investigation Protocol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response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approach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protection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Transparent process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Timely resolution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s8eyo1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7. Support Services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Psychological counseling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assistance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support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 relocation services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trauma support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7dp8vu" w:id="10"/>
      <w:bookmarkEnd w:id="10"/>
      <w:r w:rsidDel="00000000" w:rsidR="00000000" w:rsidRPr="00000000">
        <w:rPr>
          <w:color w:val="000000"/>
          <w:sz w:val="26"/>
          <w:szCs w:val="26"/>
          <w:rtl w:val="0"/>
        </w:rPr>
        <w:t xml:space="preserve">8. Accountability Measures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suspension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Disciplinary procedures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consequences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prosecution support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rdcrjn" w:id="11"/>
      <w:bookmarkEnd w:id="11"/>
      <w:r w:rsidDel="00000000" w:rsidR="00000000" w:rsidRPr="00000000">
        <w:rPr>
          <w:color w:val="000000"/>
          <w:sz w:val="26"/>
          <w:szCs w:val="26"/>
          <w:rtl w:val="0"/>
        </w:rPr>
        <w:t xml:space="preserve">9. Staff Screening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checks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reference verification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Psychological assessment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monitoring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6in1rg" w:id="12"/>
      <w:bookmarkEnd w:id="12"/>
      <w:r w:rsidDel="00000000" w:rsidR="00000000" w:rsidRPr="00000000">
        <w:rPr>
          <w:color w:val="000000"/>
          <w:sz w:val="26"/>
          <w:szCs w:val="26"/>
          <w:rtl w:val="0"/>
        </w:rPr>
        <w:t xml:space="preserve">10. Technology Protection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Digital communication guidelines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media interaction protocols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Cybersecurity measures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interaction boundaries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 w:val="1"/>
      <w:bCs w:val="1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qFormat w:val="1"/>
    <w:rPr>
      <w:i w:val="1"/>
      <w:iCs w:val="1"/>
    </w:rPr>
  </w:style>
  <w:style w:type="character" w:styleId="43">
    <w:name w:val="HTML Cite"/>
    <w:basedOn w:val="11"/>
    <w:uiPriority w:val="0"/>
    <w:qFormat w:val="1"/>
    <w:rPr>
      <w:i w:val="1"/>
      <w:iCs w:val="1"/>
    </w:rPr>
  </w:style>
  <w:style w:type="character" w:styleId="44">
    <w:name w:val="HTML Code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qFormat w:val="1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qFormat w:val="1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qFormat w:val="1"/>
    <w:rPr>
      <w:rFonts w:ascii="Courier New" w:cs="Courier New" w:hAnsi="Courier New"/>
    </w:rPr>
  </w:style>
  <w:style w:type="character" w:styleId="49">
    <w:name w:val="HTML Typewriter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qFormat w:val="1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ykxnEBMBtxyoDsaXe/kRovV1A==">CgMxLjAyCGguZ2pkZ3hzMgloLjMwajB6bGwyCWguMWZvYjl0ZTIJaC4zem55c2g3MgloLjJldDkycDAyCGgudHlqY3d0MgloLjNkeTZ2a20yCWguMXQzaDVzZjIJaC40ZDM0b2c4MgloLjJzOGV5bzEyCWguMTdkcDh2dTIJaC4zcmRjcmpuMgloLjI2aW4xcmc4AHIhMWVQSUNZQ21Wd3dGMUNMaHY1X1VWT0c1dUVBb3ZGMGdN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2024-12-08T16:35:00Z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