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Non-Discrimination Policy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Comprehensive Inclusion Framework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1. Policy Purpose</w:t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spacing w:after="0" w:afterAutospacing="0" w:before="2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Ensure equal treatment</w:t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Prevent marginalization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Promote inclusive support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after="24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Protect fundamental human rights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2. Legal Foundation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Kenyan Constitution (Article 27)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International human rights standards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Anti-discrimination principles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3. Protected Characteristics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afterAutospacing="0" w:before="2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Race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Ethnicity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Nationality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Gender identity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Sexual orientation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Disability status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Religious belief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Age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Socioeconomic background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24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HIV/AIDS status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4. Prohibited Discriminatory Practices</w:t>
      </w:r>
    </w:p>
    <w:p w:rsidR="00000000" w:rsidDel="00000000" w:rsidP="00000000" w:rsidRDefault="00000000" w:rsidRPr="00000000" w14:paraId="00000018">
      <w:pPr>
        <w:spacing w:after="240" w:before="24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Direct Discrimination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Differential treatment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Exclusion from services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Unequal access to support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Harassment</w:t>
      </w:r>
    </w:p>
    <w:p w:rsidR="00000000" w:rsidDel="00000000" w:rsidP="00000000" w:rsidRDefault="00000000" w:rsidRPr="00000000" w14:paraId="0000001D">
      <w:pPr>
        <w:spacing w:after="240" w:before="24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 Indirect Discrimination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24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Seemingly neutral policies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Disproportionate impact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Systemic barriers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24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Unconscious bias</w:t>
      </w:r>
    </w:p>
    <w:p w:rsidR="00000000" w:rsidDel="00000000" w:rsidP="00000000" w:rsidRDefault="00000000" w:rsidRPr="00000000" w14:paraId="00000022">
      <w:pPr>
        <w:spacing w:after="240" w:before="24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5. Service Delivery Principles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Inclusive Approach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24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Individualized support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Trauma-informed care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Culturally sensitive interventions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24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Adaptive service models</w:t>
      </w:r>
    </w:p>
    <w:p w:rsidR="00000000" w:rsidDel="00000000" w:rsidP="00000000" w:rsidRDefault="00000000" w:rsidRPr="00000000" w14:paraId="00000028">
      <w:pPr>
        <w:spacing w:after="240" w:before="24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Accessibility Standards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afterAutospacing="0" w:before="24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Physical accessibility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Communication accommodations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Language support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24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Technology-enabled services</w:t>
      </w:r>
    </w:p>
    <w:p w:rsidR="00000000" w:rsidDel="00000000" w:rsidP="00000000" w:rsidRDefault="00000000" w:rsidRPr="00000000" w14:paraId="0000002D">
      <w:pPr>
        <w:spacing w:after="240" w:before="24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6. Staff Responsibilities</w:t>
      </w:r>
    </w:p>
    <w:p w:rsidR="00000000" w:rsidDel="00000000" w:rsidP="00000000" w:rsidRDefault="00000000" w:rsidRPr="00000000" w14:paraId="0000002E">
      <w:pPr>
        <w:spacing w:after="240" w:before="24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Ethical Conduct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24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Respect for diversity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Ongoing cultural competence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Challenge discriminatory behaviors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24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Continuous learning</w:t>
      </w:r>
    </w:p>
    <w:p w:rsidR="00000000" w:rsidDel="00000000" w:rsidP="00000000" w:rsidRDefault="00000000" w:rsidRPr="00000000" w14:paraId="00000033">
      <w:pPr>
        <w:spacing w:after="240" w:before="24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 Training Requirements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24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Unconscious bias workshops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Intersectionality understanding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Inclusive communication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4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Empathy development</w:t>
      </w:r>
    </w:p>
    <w:p w:rsidR="00000000" w:rsidDel="00000000" w:rsidP="00000000" w:rsidRDefault="00000000" w:rsidRPr="00000000" w14:paraId="00000038">
      <w:pPr>
        <w:spacing w:after="240" w:before="24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7. Reporting and Accountability</w:t>
      </w:r>
    </w:p>
    <w:p w:rsidR="00000000" w:rsidDel="00000000" w:rsidP="00000000" w:rsidRDefault="00000000" w:rsidRPr="00000000" w14:paraId="00000039">
      <w:pPr>
        <w:spacing w:after="240" w:before="24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 Complaint Mechanisms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afterAutospacing="0" w:before="24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Confidential reporting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Multiple reporting channels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Protection for complainants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24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Transparent investigation</w:t>
      </w:r>
    </w:p>
    <w:p w:rsidR="00000000" w:rsidDel="00000000" w:rsidP="00000000" w:rsidRDefault="00000000" w:rsidRPr="00000000" w14:paraId="0000003E">
      <w:pPr>
        <w:spacing w:after="240" w:before="24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 Accountability Measures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afterAutospacing="0" w:before="24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Regular policy audits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External oversight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Performance evaluations</w:t>
      </w:r>
    </w:p>
    <w:p w:rsidR="00000000" w:rsidDel="00000000" w:rsidP="00000000" w:rsidRDefault="00000000" w:rsidRPr="00000000" w14:paraId="00000042">
      <w:pPr>
        <w:numPr>
          <w:ilvl w:val="0"/>
          <w:numId w:val="13"/>
        </w:numPr>
        <w:spacing w:after="24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Continuous improvement</w:t>
      </w:r>
    </w:p>
    <w:p w:rsidR="00000000" w:rsidDel="00000000" w:rsidP="00000000" w:rsidRDefault="00000000" w:rsidRPr="00000000" w14:paraId="00000043">
      <w:pPr>
        <w:spacing w:after="240" w:before="24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8</w:t>
      </w:r>
      <w:r w:rsidDel="00000000" w:rsidR="00000000" w:rsidRPr="00000000">
        <w:rPr>
          <w:b w:val="1"/>
          <w:sz w:val="28"/>
          <w:szCs w:val="28"/>
          <w:rtl w:val="0"/>
        </w:rPr>
        <w:t xml:space="preserve">. </w:t>
      </w:r>
      <w:r w:rsidDel="00000000" w:rsidR="00000000" w:rsidRPr="00000000">
        <w:rPr>
          <w:b w:val="1"/>
          <w:sz w:val="26"/>
          <w:szCs w:val="26"/>
          <w:rtl w:val="0"/>
        </w:rPr>
        <w:t xml:space="preserve">Special Considerations</w:t>
      </w:r>
    </w:p>
    <w:p w:rsidR="00000000" w:rsidDel="00000000" w:rsidP="00000000" w:rsidRDefault="00000000" w:rsidRPr="00000000" w14:paraId="00000044">
      <w:pPr>
        <w:spacing w:after="240" w:before="24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Marginalized Populations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24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Targeted support strategies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Intersectional approach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Community engagement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24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Empowerment initiatives</w:t>
      </w:r>
    </w:p>
    <w:p w:rsidR="00000000" w:rsidDel="00000000" w:rsidP="00000000" w:rsidRDefault="00000000" w:rsidRPr="00000000" w14:paraId="00000049">
      <w:pPr>
        <w:spacing w:after="240" w:before="24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Emerging Challenges</w:t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spacing w:after="0" w:afterAutospacing="0" w:before="24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Adaptive policy frameworks</w:t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Technology integration</w:t>
      </w:r>
    </w:p>
    <w:p w:rsidR="00000000" w:rsidDel="00000000" w:rsidP="00000000" w:rsidRDefault="00000000" w:rsidRPr="00000000" w14:paraId="0000004C">
      <w:pPr>
        <w:numPr>
          <w:ilvl w:val="0"/>
          <w:numId w:val="14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Global best practices</w:t>
      </w:r>
    </w:p>
    <w:p w:rsidR="00000000" w:rsidDel="00000000" w:rsidP="00000000" w:rsidRDefault="00000000" w:rsidRPr="00000000" w14:paraId="0000004D">
      <w:pPr>
        <w:numPr>
          <w:ilvl w:val="0"/>
          <w:numId w:val="14"/>
        </w:numPr>
        <w:spacing w:after="24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Dynamic social landscapes</w:t>
      </w:r>
    </w:p>
    <w:p w:rsidR="00000000" w:rsidDel="00000000" w:rsidP="00000000" w:rsidRDefault="00000000" w:rsidRPr="00000000" w14:paraId="0000004E">
      <w:pPr>
        <w:spacing w:after="240" w:before="24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9. Implementation Strategy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Staff training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Policy communication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Community awareness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Continuous evaluation</w:t>
      </w:r>
    </w:p>
    <w:p w:rsidR="00000000" w:rsidDel="00000000" w:rsidP="00000000" w:rsidRDefault="00000000" w:rsidRPr="00000000" w14:paraId="0000005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Effective Date:[Current Date]</w:t>
      </w:r>
    </w:p>
    <w:p w:rsidR="00000000" w:rsidDel="00000000" w:rsidP="00000000" w:rsidRDefault="00000000" w:rsidRPr="00000000" w14:paraId="00000055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Cycle: Annual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pKxbCbWRZuAf5BS5flYmPijqrQ==">CgMxLjA4AHIhMWlxc2hRVkhudGctNXp5THJYX0w3eUllUzBCc0gxLXhK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