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color w:val="001d35"/>
          <w:sz w:val="26"/>
          <w:szCs w:val="26"/>
          <w:u w:val="single"/>
        </w:rPr>
      </w:pPr>
      <w:r w:rsidDel="00000000" w:rsidR="00000000" w:rsidRPr="00000000">
        <w:rPr>
          <w:b w:val="1"/>
          <w:color w:val="001d35"/>
          <w:sz w:val="26"/>
          <w:szCs w:val="26"/>
          <w:u w:val="single"/>
          <w:rtl w:val="0"/>
        </w:rPr>
        <w:t xml:space="preserve">LANGUAGE ASSESSMENT CHECKLIST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Initial Contact: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Language Identified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Gender Preference Noted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Cultural Considerations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Language Resources Available: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Bilingual Staff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Professional Interpreter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Telephone Interpretation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Video Interpretation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Service Type Required: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Emergency (immediate)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Scheduled Session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Document Translation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Sign Language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Special Requirements: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Gender-Specific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Cultural Knowledge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Technical Knowledge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Mental Health Experience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