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color w:val="001d35"/>
          <w:sz w:val="42"/>
          <w:szCs w:val="42"/>
        </w:rPr>
      </w:pPr>
      <w:bookmarkStart w:colFirst="0" w:colLast="0" w:name="_r14jjuqy5ze" w:id="0"/>
      <w:bookmarkEnd w:id="0"/>
      <w:r w:rsidDel="00000000" w:rsidR="00000000" w:rsidRPr="00000000">
        <w:rPr>
          <w:b w:val="1"/>
          <w:color w:val="001d35"/>
          <w:sz w:val="42"/>
          <w:szCs w:val="42"/>
          <w:rtl w:val="0"/>
        </w:rPr>
        <w:t xml:space="preserve">RISK ASSESSMENT AND SAFETY PLANNING PROCEDURES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color w:val="001d35"/>
          <w:sz w:val="30"/>
          <w:szCs w:val="30"/>
        </w:rPr>
      </w:pPr>
      <w:bookmarkStart w:colFirst="0" w:colLast="0" w:name="_l3dhk9ermlne" w:id="1"/>
      <w:bookmarkEnd w:id="1"/>
      <w:r w:rsidDel="00000000" w:rsidR="00000000" w:rsidRPr="00000000">
        <w:rPr>
          <w:b w:val="1"/>
          <w:color w:val="001d35"/>
          <w:sz w:val="30"/>
          <w:szCs w:val="30"/>
          <w:rtl w:val="0"/>
        </w:rPr>
        <w:t xml:space="preserve">1. Risk Assessment Guidelines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1d35"/>
          <w:sz w:val="22"/>
          <w:szCs w:val="22"/>
        </w:rPr>
      </w:pPr>
      <w:bookmarkStart w:colFirst="0" w:colLast="0" w:name="_rl8v6bx97ay1" w:id="2"/>
      <w:bookmarkEnd w:id="2"/>
      <w:r w:rsidDel="00000000" w:rsidR="00000000" w:rsidRPr="00000000">
        <w:rPr>
          <w:b w:val="1"/>
          <w:color w:val="001d35"/>
          <w:sz w:val="22"/>
          <w:szCs w:val="22"/>
          <w:rtl w:val="0"/>
        </w:rPr>
        <w:t xml:space="preserve">1.1 Comprehensive Risk Assessment Framework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color w:val="001d35"/>
          <w:sz w:val="30"/>
          <w:szCs w:val="30"/>
        </w:rPr>
      </w:pPr>
      <w:bookmarkStart w:colFirst="0" w:colLast="0" w:name="_9l0st9eanhf4" w:id="3"/>
      <w:bookmarkEnd w:id="3"/>
      <w:r w:rsidDel="00000000" w:rsidR="00000000" w:rsidRPr="00000000">
        <w:rPr>
          <w:b w:val="1"/>
          <w:color w:val="001d35"/>
          <w:sz w:val="30"/>
          <w:szCs w:val="30"/>
          <w:rtl w:val="0"/>
        </w:rPr>
        <w:t xml:space="preserve">Immediate Danger Indicators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Current physical violence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Threats of lethal violence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Access to weapons/firearms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Hostage situations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Violent behavior in progress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Immediate suicide risk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Children in immediate danger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color w:val="001d35"/>
          <w:sz w:val="30"/>
          <w:szCs w:val="30"/>
        </w:rPr>
      </w:pPr>
      <w:bookmarkStart w:colFirst="0" w:colLast="0" w:name="_2ef0kb4zsjm" w:id="4"/>
      <w:bookmarkEnd w:id="4"/>
      <w:r w:rsidDel="00000000" w:rsidR="00000000" w:rsidRPr="00000000">
        <w:rPr>
          <w:b w:val="1"/>
          <w:color w:val="001d35"/>
          <w:sz w:val="30"/>
          <w:szCs w:val="30"/>
          <w:rtl w:val="0"/>
        </w:rPr>
        <w:t xml:space="preserve">Historical Risk Factors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Previous incidents of violence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Frequency of incidents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Severity progression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Types of violence used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Recovery periods between incidents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Previous police involvement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Protection order violations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Criminal history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Previous threats carried out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History of weapon use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Past hostage-taking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Animal abuse history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color w:val="001d35"/>
          <w:sz w:val="30"/>
          <w:szCs w:val="30"/>
        </w:rPr>
      </w:pPr>
      <w:bookmarkStart w:colFirst="0" w:colLast="0" w:name="_o2xdbz4vtmq9" w:id="5"/>
      <w:bookmarkEnd w:id="5"/>
      <w:r w:rsidDel="00000000" w:rsidR="00000000" w:rsidRPr="00000000">
        <w:rPr>
          <w:b w:val="1"/>
          <w:color w:val="001d35"/>
          <w:sz w:val="30"/>
          <w:szCs w:val="30"/>
          <w:rtl w:val="0"/>
        </w:rPr>
        <w:t xml:space="preserve">Perpetrator Risk Factors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Access to victim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Stalking behaviors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Physical following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Digital surveillance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Workplace harassment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Family/friend harassment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Control tactics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Financial control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Social isolation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Movement restrictions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Communication monitoring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Substance abuse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Mental health status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Employment status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Previous relationship violence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Cultural/religious beliefs about violence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color w:val="001d35"/>
          <w:sz w:val="30"/>
          <w:szCs w:val="30"/>
        </w:rPr>
      </w:pPr>
      <w:bookmarkStart w:colFirst="0" w:colLast="0" w:name="_urhz80rqq4q7" w:id="6"/>
      <w:bookmarkEnd w:id="6"/>
      <w:r w:rsidDel="00000000" w:rsidR="00000000" w:rsidRPr="00000000">
        <w:rPr>
          <w:b w:val="1"/>
          <w:color w:val="001d35"/>
          <w:sz w:val="30"/>
          <w:szCs w:val="30"/>
          <w:rtl w:val="0"/>
        </w:rPr>
        <w:t xml:space="preserve">Victim Vulnerability Factors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Pregnancy/recent childbirth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Disability status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Physical limitations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Mental health conditions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Cognitive impairments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Sensory disabilities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Economic dependence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Immigration status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Documentation status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Language barriers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Cultural isolation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Geographic isolation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Support system access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Health conditions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Age-related vulnerabilities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Recommended advice and referral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